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3.0" w:type="dxa"/>
        <w:jc w:val="center"/>
        <w:tblLayout w:type="fixed"/>
        <w:tblLook w:val="0000"/>
      </w:tblPr>
      <w:tblGrid>
        <w:gridCol w:w="1177"/>
        <w:gridCol w:w="3493"/>
        <w:gridCol w:w="6083"/>
        <w:tblGridChange w:id="0">
          <w:tblGrid>
            <w:gridCol w:w="1177"/>
            <w:gridCol w:w="3493"/>
            <w:gridCol w:w="60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-98421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412425" y="3777778"/>
                                <a:ext cx="3867150" cy="4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-98421</wp:posOffset>
                      </wp:positionH>
                      <wp:positionV relativeFrom="paragraph">
                        <wp:posOffset>3075940</wp:posOffset>
                      </wp:positionV>
                      <wp:extent cx="4445" cy="12700"/>
                      <wp:effectExtent b="0" l="0" r="0" t="0"/>
                      <wp:wrapNone/>
                      <wp:docPr id="50031569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4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Deporte y la Recreación del proyecto denominado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Conservación de la infraestructura deportiva y recreativa del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VALENTINA  LOPEZ TORRES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1.006.048.752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8.379.000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9495471008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1958794420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11/27/2025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corresponda. Esta labor estará orientada a fortalecer la planeación, el control y la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en las actividades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y su registro en medios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y de gestión como el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Gestión de Contratistas,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SECOP y Drive.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y consolidación de bases de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datos, informes parciales y finales, listados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asistencia y evidencias de seguimiento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generadas durante la gestión del proyecto;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carpetas contractuales, seguimiento de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requerimientos, y presentar dichos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entregables conforme a los lineamientos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programa.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asistencia de reuniones del programa, así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como en las actividades técnicas,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operativas y misionales del área de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Fomento en articulación con las demás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2.00 % de las actividades asignadas relacionadas con el desarrollo del objeto contractual..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1.Realizó informe al 100% en la primera cuota.</w:t>
            </w:r>
          </w:p>
          <w:p w:rsidR="00000000" w:rsidDel="00000000" w:rsidP="00000000" w:rsidRDefault="00000000" w:rsidRPr="00000000" w14:paraId="0000006A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ejecuté actividades para apoyar a la carga, organización y verificación de la documentación requerida en la plataforma de Gestión de Contratistas, garantizando su adecuada radicación y disponibilidad para los procesos de control y seguimiento institucional.</w:t>
            </w:r>
          </w:p>
          <w:p w:rsidR="00000000" w:rsidDel="00000000" w:rsidP="00000000" w:rsidRDefault="00000000" w:rsidRPr="00000000" w14:paraId="0000006C">
            <w:pPr>
              <w:widowControl w:val="1"/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realicé seguimientos a la cuentas asignadas del programa eventos de la</w:t>
            </w:r>
          </w:p>
          <w:p w:rsidR="00000000" w:rsidDel="00000000" w:rsidP="00000000" w:rsidRDefault="00000000" w:rsidRPr="00000000" w14:paraId="0000006E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vigencia 2025 diciembre para el cobro de los ps.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Durante este periodo no fui requerido.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2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5.participé en una mesa de trabajo virtual convocada por el área financiera de la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 del Deporte y la Recreación, en la cual se trataron lineamientos y orientaciones</w:t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sobre el cumplimiento del cierre financiero vigencia 2025.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282885</wp:posOffset>
                  </wp:positionV>
                  <wp:extent cx="2394585" cy="446405"/>
                  <wp:effectExtent b="0" l="0" r="0" t="0"/>
                  <wp:wrapTopAndBottom distB="0" distT="0"/>
                  <wp:docPr descr="Imagen en blanco y negro  Descripción generada automáticamente con confianza media" id="500315697" name="image1.png"/>
                  <a:graphic>
                    <a:graphicData uri="http://schemas.openxmlformats.org/drawingml/2006/picture">
                      <pic:pic>
                        <pic:nvPicPr>
                          <pic:cNvPr descr="Imagen en blanco y negro  Descripción generada automáticamente con confianza media"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585" cy="4464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10" w:type="default"/>
          <w:footerReference r:id="rId11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A75350"/>
    <w:rPr>
      <w:color w:val="0000ff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ioktT5nlbmMgBRbthDMHa1lZW6U5w4jP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zBdohld0AG4p1U5wwbrdMK/xDA==">CgMxLjA4AHIhMVJ2NDJNYTdQRktlR1JTOWhYT09nZG1ZeVIxamZRenBm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2025-06-05T23:22:00Z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